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E70" w:rsidRPr="005D11AA" w:rsidRDefault="00AF37A0" w:rsidP="00AF37A0">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on APRNS</w:t>
      </w:r>
    </w:p>
    <w:p w:rsidR="006E0E70" w:rsidRPr="005D11AA" w:rsidRDefault="006E0E70" w:rsidP="005D11AA">
      <w:pPr>
        <w:spacing w:line="480" w:lineRule="auto"/>
        <w:ind w:firstLine="720"/>
        <w:rPr>
          <w:rFonts w:ascii="Times New Roman" w:hAnsi="Times New Roman" w:cs="Times New Roman"/>
          <w:sz w:val="24"/>
          <w:szCs w:val="24"/>
        </w:rPr>
      </w:pPr>
      <w:r w:rsidRPr="005D11AA">
        <w:rPr>
          <w:rFonts w:ascii="Times New Roman" w:hAnsi="Times New Roman" w:cs="Times New Roman"/>
          <w:sz w:val="24"/>
          <w:szCs w:val="24"/>
        </w:rPr>
        <w:t xml:space="preserve">Different family members may respond differently to illnesses depending on their stage of development. Some may demonstrate severe signs and symptoms due to lack of awareness, while others may demonstrate severe signs and symptoms due to poor feeding habits in their development. My population of interest is the obese population. In the case of the obese population, it is crucial for the APRN to explore the individual stage of development of each family member in order to determine their lifestyle behaviors. Lifestyle choices can either help the family members in fighting obesity or provide a conducive environment for obesity to thrive. For example, adult family members who did not maintain healthy lifestyle behaviors in their childhood may find it difficult to fight obesity in their adulthood. Some of the unhealthy lifestyle behaviors during childhood that may increase the chances of becoming obese include the increased consumption of processed food components that contain high calories and fat content, physical inactiveness, and low consumption of fruits and vegetables (Pozza &amp; Isidori, 2018). The above </w:t>
      </w:r>
      <w:r w:rsidR="005D11AA" w:rsidRPr="005D11AA">
        <w:rPr>
          <w:rFonts w:ascii="Times New Roman" w:hAnsi="Times New Roman" w:cs="Times New Roman"/>
          <w:sz w:val="24"/>
          <w:szCs w:val="24"/>
        </w:rPr>
        <w:t>factors increase the cholesterol component in the body, block the blood vessels, and interfere</w:t>
      </w:r>
      <w:r w:rsidRPr="005D11AA">
        <w:rPr>
          <w:rFonts w:ascii="Times New Roman" w:hAnsi="Times New Roman" w:cs="Times New Roman"/>
          <w:sz w:val="24"/>
          <w:szCs w:val="24"/>
        </w:rPr>
        <w:t xml:space="preserve"> with the white blood cells that help the body in fighting diseases. Therefore, APRNs may rely on the above information to determine how adults respond to obesity.</w:t>
      </w:r>
    </w:p>
    <w:p w:rsidR="006E0E70" w:rsidRPr="005D11AA" w:rsidRDefault="006E0E70" w:rsidP="005D11AA">
      <w:pPr>
        <w:spacing w:line="480" w:lineRule="auto"/>
        <w:ind w:firstLine="720"/>
        <w:rPr>
          <w:rFonts w:ascii="Times New Roman" w:hAnsi="Times New Roman" w:cs="Times New Roman"/>
          <w:sz w:val="24"/>
          <w:szCs w:val="24"/>
        </w:rPr>
      </w:pPr>
      <w:r w:rsidRPr="005D11AA">
        <w:rPr>
          <w:rFonts w:ascii="Times New Roman" w:hAnsi="Times New Roman" w:cs="Times New Roman"/>
          <w:sz w:val="24"/>
          <w:szCs w:val="24"/>
        </w:rPr>
        <w:t xml:space="preserve">In addition, it is important for an APRN to explore the individual stage of development of each family member in order to determine the type of administered medications as well as their dosages. For instance, children and adults suffering from the same health condition are not supposed to receive the same medications and dosages. For the case of obesity, different family members may receive different medications depending on their development stage. For example, the Food and Drug Administration in the United States has recommended and approved orlistat for the treatment of obesity among adolescents aged 12 to 16 (Srivastava &amp; Apovian, 2018). </w:t>
      </w:r>
      <w:r w:rsidRPr="005D11AA">
        <w:rPr>
          <w:rFonts w:ascii="Times New Roman" w:hAnsi="Times New Roman" w:cs="Times New Roman"/>
          <w:sz w:val="24"/>
          <w:szCs w:val="24"/>
        </w:rPr>
        <w:lastRenderedPageBreak/>
        <w:t xml:space="preserve">According to the Food and Drug Administration, orlistat works to breakdown triglycerides and lower fat absorption by a rate of almost 30 percent (Srivastava &amp; Apovian, 2018). In addition, the daily dose of orlistat is </w:t>
      </w:r>
      <w:r w:rsidR="005D11AA" w:rsidRPr="005D11AA">
        <w:rPr>
          <w:rFonts w:ascii="Times New Roman" w:hAnsi="Times New Roman" w:cs="Times New Roman"/>
          <w:sz w:val="24"/>
          <w:szCs w:val="24"/>
        </w:rPr>
        <w:t>120mg that</w:t>
      </w:r>
      <w:r w:rsidRPr="005D11AA">
        <w:rPr>
          <w:rFonts w:ascii="Times New Roman" w:hAnsi="Times New Roman" w:cs="Times New Roman"/>
          <w:sz w:val="24"/>
          <w:szCs w:val="24"/>
        </w:rPr>
        <w:t xml:space="preserve"> should be taken a day thrice, that is, in the morning, lunch, and evening (Srivastava &amp; Apovian, 2018). Similarly, the Food and Drug Administration has authorized Liraglutide and Lorcaserin, among others, for the treatment of obesity among adults. The daily dosage of Liraglutide for obese adults, according to the Food and Drug Administration, is 3mg (Srivastava &amp; Apovian, 2018). Therefore, it is always prudent for the respective APRN to explore the individual development stage of each family member in order to prescribe the best medication and dosage. </w:t>
      </w:r>
    </w:p>
    <w:p w:rsidR="006E0E70" w:rsidRPr="005D11AA" w:rsidRDefault="006E0E70" w:rsidP="005D11AA">
      <w:pPr>
        <w:spacing w:line="480" w:lineRule="auto"/>
        <w:ind w:firstLine="720"/>
        <w:rPr>
          <w:rFonts w:ascii="Times New Roman" w:hAnsi="Times New Roman" w:cs="Times New Roman"/>
          <w:sz w:val="24"/>
          <w:szCs w:val="24"/>
        </w:rPr>
      </w:pPr>
      <w:r w:rsidRPr="005D11AA">
        <w:rPr>
          <w:rFonts w:ascii="Times New Roman" w:hAnsi="Times New Roman" w:cs="Times New Roman"/>
          <w:sz w:val="24"/>
          <w:szCs w:val="24"/>
        </w:rPr>
        <w:t>Besides, it is vital for an APRN to explore the individual stage of development of each family member in order to prevent more severe consequences. All family members should be treated with obesity, but it is more important to treat children with obesity. Children represent the future of the family. Obesity is a risk health condition because it increases the chances of developing other health conditions such as high blood pressure, heart disease, and diabetes (NCD Risk Factor Collaboration, 2019). If children with obesity are not treated, they proceed into adulthood with the disease, and this lowers their chances of survival. Supposing that childhood obesity is not treated, this implicates that the future generation of the family may be in danger. Obesity is a genetic disorder, meaning it can be transmitted from generation to another, and this may make a family dormant. Therefore, it is more important for the APRN to pay close attention to children and adolescents in order to prevent severe consequences in the future, although all persons are important. In conclusion, it is essential for an APRN to explore the individual stage of development of each family member to prevent more severe consequences, determine the type of administered medications as well as their dosages, and to determine their lifestyle behaviors.</w:t>
      </w:r>
    </w:p>
    <w:p w:rsidR="006E0E70" w:rsidRPr="005D11AA" w:rsidRDefault="006E0E70" w:rsidP="005D11AA">
      <w:pPr>
        <w:spacing w:line="480" w:lineRule="auto"/>
        <w:jc w:val="center"/>
        <w:rPr>
          <w:rFonts w:ascii="Times New Roman" w:hAnsi="Times New Roman" w:cs="Times New Roman"/>
          <w:sz w:val="24"/>
          <w:szCs w:val="24"/>
        </w:rPr>
      </w:pPr>
      <w:r w:rsidRPr="005D11AA">
        <w:rPr>
          <w:rFonts w:ascii="Times New Roman" w:hAnsi="Times New Roman" w:cs="Times New Roman"/>
          <w:sz w:val="24"/>
          <w:szCs w:val="24"/>
        </w:rPr>
        <w:t>References</w:t>
      </w:r>
    </w:p>
    <w:p w:rsidR="006E0E70" w:rsidRPr="005D11AA" w:rsidRDefault="006E0E70" w:rsidP="005D11AA">
      <w:pPr>
        <w:spacing w:line="480" w:lineRule="auto"/>
        <w:ind w:left="720" w:hanging="720"/>
        <w:rPr>
          <w:rFonts w:ascii="Times New Roman" w:hAnsi="Times New Roman" w:cs="Times New Roman"/>
          <w:sz w:val="24"/>
          <w:szCs w:val="24"/>
        </w:rPr>
      </w:pPr>
      <w:r w:rsidRPr="005D11AA">
        <w:rPr>
          <w:rFonts w:ascii="Times New Roman" w:hAnsi="Times New Roman" w:cs="Times New Roman"/>
          <w:sz w:val="24"/>
          <w:szCs w:val="24"/>
        </w:rPr>
        <w:t>NCD Risk Factor Collaboration. (2019). Rising rural body-mass index is the main driver of the global obesity epidemic in adults. Nature, 569(7755), 260.</w:t>
      </w:r>
    </w:p>
    <w:p w:rsidR="006E0E70" w:rsidRPr="005D11AA" w:rsidRDefault="006E0E70" w:rsidP="005D11AA">
      <w:pPr>
        <w:spacing w:line="480" w:lineRule="auto"/>
        <w:ind w:left="720" w:hanging="720"/>
        <w:rPr>
          <w:rFonts w:ascii="Times New Roman" w:hAnsi="Times New Roman" w:cs="Times New Roman"/>
          <w:i/>
          <w:sz w:val="24"/>
          <w:szCs w:val="24"/>
        </w:rPr>
      </w:pPr>
      <w:r w:rsidRPr="005D11AA">
        <w:rPr>
          <w:rFonts w:ascii="Times New Roman" w:hAnsi="Times New Roman" w:cs="Times New Roman"/>
          <w:sz w:val="24"/>
          <w:szCs w:val="24"/>
        </w:rPr>
        <w:t>Po</w:t>
      </w:r>
      <w:bookmarkStart w:id="0" w:name="_GoBack"/>
      <w:bookmarkEnd w:id="0"/>
      <w:r w:rsidRPr="005D11AA">
        <w:rPr>
          <w:rFonts w:ascii="Times New Roman" w:hAnsi="Times New Roman" w:cs="Times New Roman"/>
          <w:sz w:val="24"/>
          <w:szCs w:val="24"/>
        </w:rPr>
        <w:t xml:space="preserve">zza, C., &amp; Isidori, A. M. (2018). What's behind the obesity epidemic. In Imaging in bariatric surgery (pp. 1-8). </w:t>
      </w:r>
      <w:r w:rsidRPr="005D11AA">
        <w:rPr>
          <w:rFonts w:ascii="Times New Roman" w:hAnsi="Times New Roman" w:cs="Times New Roman"/>
          <w:i/>
          <w:sz w:val="24"/>
          <w:szCs w:val="24"/>
        </w:rPr>
        <w:t>Springer, Cham.</w:t>
      </w:r>
    </w:p>
    <w:p w:rsidR="006E0E70" w:rsidRPr="005D11AA" w:rsidRDefault="006E0E70" w:rsidP="005D11AA">
      <w:pPr>
        <w:spacing w:line="480" w:lineRule="auto"/>
        <w:ind w:left="720" w:hanging="720"/>
        <w:rPr>
          <w:rFonts w:ascii="Times New Roman" w:hAnsi="Times New Roman" w:cs="Times New Roman"/>
          <w:sz w:val="24"/>
          <w:szCs w:val="24"/>
        </w:rPr>
      </w:pPr>
      <w:r w:rsidRPr="005D11AA">
        <w:rPr>
          <w:rFonts w:ascii="Times New Roman" w:hAnsi="Times New Roman" w:cs="Times New Roman"/>
          <w:sz w:val="24"/>
          <w:szCs w:val="24"/>
        </w:rPr>
        <w:t xml:space="preserve">Srivastava, G., &amp; Apovian, C. M. (2018). Current pharmacotherapy for obesity. </w:t>
      </w:r>
      <w:r w:rsidRPr="005D11AA">
        <w:rPr>
          <w:rFonts w:ascii="Times New Roman" w:hAnsi="Times New Roman" w:cs="Times New Roman"/>
          <w:i/>
          <w:sz w:val="24"/>
          <w:szCs w:val="24"/>
        </w:rPr>
        <w:t>Nature Reviews Endocrinology,</w:t>
      </w:r>
      <w:r w:rsidRPr="005D11AA">
        <w:rPr>
          <w:rFonts w:ascii="Times New Roman" w:hAnsi="Times New Roman" w:cs="Times New Roman"/>
          <w:sz w:val="24"/>
          <w:szCs w:val="24"/>
        </w:rPr>
        <w:t xml:space="preserve"> 14(1), 12-24.</w:t>
      </w:r>
    </w:p>
    <w:p w:rsidR="00191F10" w:rsidRPr="005D11AA" w:rsidRDefault="00191F10" w:rsidP="005D11AA">
      <w:pPr>
        <w:spacing w:line="480" w:lineRule="auto"/>
        <w:rPr>
          <w:rFonts w:ascii="Times New Roman" w:hAnsi="Times New Roman" w:cs="Times New Roman"/>
          <w:sz w:val="24"/>
          <w:szCs w:val="24"/>
        </w:rPr>
      </w:pPr>
    </w:p>
    <w:sectPr w:rsidR="00191F10" w:rsidRPr="005D11AA" w:rsidSect="005D11AA">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78DF" w:rsidRDefault="00E478DF" w:rsidP="005D11AA">
      <w:pPr>
        <w:spacing w:after="0" w:line="240" w:lineRule="auto"/>
      </w:pPr>
      <w:r>
        <w:separator/>
      </w:r>
    </w:p>
  </w:endnote>
  <w:endnote w:type="continuationSeparator" w:id="1">
    <w:p w:rsidR="00E478DF" w:rsidRDefault="00E478DF" w:rsidP="005D11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78DF" w:rsidRDefault="00E478DF" w:rsidP="005D11AA">
      <w:pPr>
        <w:spacing w:after="0" w:line="240" w:lineRule="auto"/>
      </w:pPr>
      <w:r>
        <w:separator/>
      </w:r>
    </w:p>
  </w:footnote>
  <w:footnote w:type="continuationSeparator" w:id="1">
    <w:p w:rsidR="00E478DF" w:rsidRDefault="00E478DF" w:rsidP="005D11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AA" w:rsidRPr="005D11AA" w:rsidRDefault="005D11AA">
    <w:pPr>
      <w:pStyle w:val="Header"/>
      <w:rPr>
        <w:rFonts w:ascii="Times New Roman" w:hAnsi="Times New Roman" w:cs="Times New Roman"/>
        <w:sz w:val="24"/>
        <w:szCs w:val="24"/>
      </w:rPr>
    </w:pPr>
  </w:p>
  <w:p w:rsidR="005D11AA" w:rsidRDefault="005D11A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191F10"/>
    <w:rsid w:val="000B0266"/>
    <w:rsid w:val="00191F10"/>
    <w:rsid w:val="002A01E7"/>
    <w:rsid w:val="003847F2"/>
    <w:rsid w:val="005D11AA"/>
    <w:rsid w:val="0060655F"/>
    <w:rsid w:val="0064049B"/>
    <w:rsid w:val="006D4D74"/>
    <w:rsid w:val="006E0E70"/>
    <w:rsid w:val="007D2FE3"/>
    <w:rsid w:val="008A37D7"/>
    <w:rsid w:val="009657C4"/>
    <w:rsid w:val="0099297D"/>
    <w:rsid w:val="00A80004"/>
    <w:rsid w:val="00AE3283"/>
    <w:rsid w:val="00AF37A0"/>
    <w:rsid w:val="00B82281"/>
    <w:rsid w:val="00CC5446"/>
    <w:rsid w:val="00CF2BDB"/>
    <w:rsid w:val="00E478DF"/>
    <w:rsid w:val="00E74AF9"/>
    <w:rsid w:val="00F404A7"/>
    <w:rsid w:val="00FE7A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2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1AA"/>
  </w:style>
  <w:style w:type="paragraph" w:styleId="Footer">
    <w:name w:val="footer"/>
    <w:basedOn w:val="Normal"/>
    <w:link w:val="FooterChar"/>
    <w:uiPriority w:val="99"/>
    <w:unhideWhenUsed/>
    <w:rsid w:val="005D1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1AA"/>
  </w:style>
  <w:style w:type="paragraph" w:styleId="BalloonText">
    <w:name w:val="Balloon Text"/>
    <w:basedOn w:val="Normal"/>
    <w:link w:val="BalloonTextChar"/>
    <w:uiPriority w:val="99"/>
    <w:semiHidden/>
    <w:unhideWhenUsed/>
    <w:rsid w:val="005D1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1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1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1AA"/>
  </w:style>
  <w:style w:type="paragraph" w:styleId="Footer">
    <w:name w:val="footer"/>
    <w:basedOn w:val="Normal"/>
    <w:link w:val="FooterChar"/>
    <w:uiPriority w:val="99"/>
    <w:unhideWhenUsed/>
    <w:rsid w:val="005D1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1AA"/>
  </w:style>
  <w:style w:type="paragraph" w:styleId="BalloonText">
    <w:name w:val="Balloon Text"/>
    <w:basedOn w:val="Normal"/>
    <w:link w:val="BalloonTextChar"/>
    <w:uiPriority w:val="99"/>
    <w:semiHidden/>
    <w:unhideWhenUsed/>
    <w:rsid w:val="005D11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1A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014673">
      <w:bodyDiv w:val="1"/>
      <w:marLeft w:val="0"/>
      <w:marRight w:val="0"/>
      <w:marTop w:val="0"/>
      <w:marBottom w:val="0"/>
      <w:divBdr>
        <w:top w:val="none" w:sz="0" w:space="0" w:color="auto"/>
        <w:left w:val="none" w:sz="0" w:space="0" w:color="auto"/>
        <w:bottom w:val="none" w:sz="0" w:space="0" w:color="auto"/>
        <w:right w:val="none" w:sz="0" w:space="0" w:color="auto"/>
      </w:divBdr>
      <w:divsChild>
        <w:div w:id="320155167">
          <w:marLeft w:val="0"/>
          <w:marRight w:val="0"/>
          <w:marTop w:val="0"/>
          <w:marBottom w:val="0"/>
          <w:divBdr>
            <w:top w:val="none" w:sz="0" w:space="0" w:color="auto"/>
            <w:left w:val="none" w:sz="0" w:space="0" w:color="auto"/>
            <w:bottom w:val="none" w:sz="0" w:space="0" w:color="auto"/>
            <w:right w:val="none" w:sz="0" w:space="0" w:color="auto"/>
          </w:divBdr>
        </w:div>
      </w:divsChild>
    </w:div>
    <w:div w:id="136344094">
      <w:bodyDiv w:val="1"/>
      <w:marLeft w:val="0"/>
      <w:marRight w:val="0"/>
      <w:marTop w:val="0"/>
      <w:marBottom w:val="0"/>
      <w:divBdr>
        <w:top w:val="none" w:sz="0" w:space="0" w:color="auto"/>
        <w:left w:val="none" w:sz="0" w:space="0" w:color="auto"/>
        <w:bottom w:val="none" w:sz="0" w:space="0" w:color="auto"/>
        <w:right w:val="none" w:sz="0" w:space="0" w:color="auto"/>
      </w:divBdr>
      <w:divsChild>
        <w:div w:id="731268942">
          <w:marLeft w:val="0"/>
          <w:marRight w:val="0"/>
          <w:marTop w:val="0"/>
          <w:marBottom w:val="0"/>
          <w:divBdr>
            <w:top w:val="none" w:sz="0" w:space="0" w:color="auto"/>
            <w:left w:val="none" w:sz="0" w:space="0" w:color="auto"/>
            <w:bottom w:val="none" w:sz="0" w:space="0" w:color="auto"/>
            <w:right w:val="none" w:sz="0" w:space="0" w:color="auto"/>
          </w:divBdr>
        </w:div>
      </w:divsChild>
    </w:div>
    <w:div w:id="1612005308">
      <w:bodyDiv w:val="1"/>
      <w:marLeft w:val="0"/>
      <w:marRight w:val="0"/>
      <w:marTop w:val="0"/>
      <w:marBottom w:val="0"/>
      <w:divBdr>
        <w:top w:val="none" w:sz="0" w:space="0" w:color="auto"/>
        <w:left w:val="none" w:sz="0" w:space="0" w:color="auto"/>
        <w:bottom w:val="none" w:sz="0" w:space="0" w:color="auto"/>
        <w:right w:val="none" w:sz="0" w:space="0" w:color="auto"/>
      </w:divBdr>
      <w:divsChild>
        <w:div w:id="1313757166">
          <w:marLeft w:val="0"/>
          <w:marRight w:val="0"/>
          <w:marTop w:val="0"/>
          <w:marBottom w:val="0"/>
          <w:divBdr>
            <w:top w:val="none" w:sz="0" w:space="0" w:color="auto"/>
            <w:left w:val="none" w:sz="0" w:space="0" w:color="auto"/>
            <w:bottom w:val="none" w:sz="0" w:space="0" w:color="auto"/>
            <w:right w:val="none" w:sz="0" w:space="0" w:color="auto"/>
          </w:divBdr>
        </w:div>
      </w:divsChild>
    </w:div>
    <w:div w:id="2026591558">
      <w:bodyDiv w:val="1"/>
      <w:marLeft w:val="0"/>
      <w:marRight w:val="0"/>
      <w:marTop w:val="0"/>
      <w:marBottom w:val="0"/>
      <w:divBdr>
        <w:top w:val="none" w:sz="0" w:space="0" w:color="auto"/>
        <w:left w:val="none" w:sz="0" w:space="0" w:color="auto"/>
        <w:bottom w:val="none" w:sz="0" w:space="0" w:color="auto"/>
        <w:right w:val="none" w:sz="0" w:space="0" w:color="auto"/>
      </w:divBdr>
      <w:divsChild>
        <w:div w:id="1653869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2020-08-12T18:18:00Z</dcterms:created>
  <dcterms:modified xsi:type="dcterms:W3CDTF">2020-08-12T18:18:00Z</dcterms:modified>
</cp:coreProperties>
</file>